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999999999998" w:type="dxa"/>
        <w:jc w:val="left"/>
        <w:tblLayout w:type="fixed"/>
        <w:tblLook w:val="0000"/>
      </w:tblPr>
      <w:tblGrid>
        <w:gridCol w:w="114"/>
        <w:gridCol w:w="2320"/>
        <w:gridCol w:w="2215"/>
        <w:gridCol w:w="1477"/>
        <w:gridCol w:w="393"/>
        <w:gridCol w:w="3116"/>
        <w:tblGridChange w:id="0">
          <w:tblGrid>
            <w:gridCol w:w="114"/>
            <w:gridCol w:w="2320"/>
            <w:gridCol w:w="2215"/>
            <w:gridCol w:w="1477"/>
            <w:gridCol w:w="393"/>
            <w:gridCol w:w="3116"/>
          </w:tblGrid>
        </w:tblGridChange>
      </w:tblGrid>
      <w:tr>
        <w:trPr>
          <w:cantSplit w:val="0"/>
          <w:trHeight w:val="81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2898775" cy="100901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-513" l="-179" r="-179" t="-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551815" cy="58674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-258" l="-285" r="-285" t="-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666666"/>
                <w:sz w:val="10"/>
                <w:szCs w:val="1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7175" cy="370840"/>
                  <wp:effectExtent b="0" l="0" r="0" t="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-214" l="-72" r="-51" t="-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66666"/>
                <w:sz w:val="16"/>
                <w:szCs w:val="16"/>
                <w:u w:val="none"/>
                <w:vertAlign w:val="baseline"/>
                <w:rtl w:val="0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Toscana  IS0059 – ISO9001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www.e-santoni.edu.it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3333ff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PEC: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piis003007@pec.istruzione.it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ATTIVITÀ SVOLTE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7"/>
        <w:gridCol w:w="5110"/>
        <w:gridCol w:w="2468"/>
        <w:tblGridChange w:id="0">
          <w:tblGrid>
            <w:gridCol w:w="2487"/>
            <w:gridCol w:w="5110"/>
            <w:gridCol w:w="246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864" w:right="0" w:hanging="86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Nome e cognome del docente  Simona Niccolai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Disciplina insegnata 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/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Libro/i di testo in uso: </w:t>
            </w:r>
            <w:hyperlink r:id="rId10">
              <w:r w:rsidDel="00000000" w:rsidR="00000000" w:rsidRPr="00000000">
                <w:rPr>
                  <w:strike w:val="0"/>
                  <w:color w:val="4b4a4a"/>
                  <w:sz w:val="24"/>
                  <w:szCs w:val="24"/>
                  <w:u w:val="none"/>
                  <w:vertAlign w:val="baseline"/>
                  <w:rtl w:val="0"/>
                </w:rPr>
                <w:br w:type="textWrapping"/>
              </w:r>
            </w:hyperlink>
            <w:hyperlink r:id="rId11">
              <w:r w:rsidDel="00000000" w:rsidR="00000000" w:rsidRPr="00000000">
                <w:rPr>
                  <w:strike w:val="0"/>
                  <w:color w:val="000000"/>
                  <w:sz w:val="24"/>
                  <w:szCs w:val="24"/>
                  <w:u w:val="none"/>
                  <w:vertAlign w:val="baseline"/>
                  <w:rtl w:val="0"/>
                </w:rPr>
                <w:t xml:space="preserve">Guido Armellini</w:t>
              </w:r>
            </w:hyperlink>
            <w:r w:rsidDel="00000000" w:rsidR="00000000" w:rsidRPr="00000000">
              <w:rPr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, Adriano Colombo, Luigi Bosi </w:t>
            </w:r>
            <w:r w:rsidDel="00000000" w:rsidR="00000000" w:rsidRPr="00000000">
              <w:rPr>
                <w:strike w:val="0"/>
                <w:sz w:val="24"/>
                <w:szCs w:val="24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“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color w:val="000000"/>
                <w:sz w:val="22"/>
                <w:szCs w:val="22"/>
                <w:rtl w:val="0"/>
              </w:rPr>
              <w:t xml:space="preserve">Con altri occhi. La letteratura e i testi”.  Vol. 1: Dal Duecento al Cinquecento.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Classe e Sezione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......3H...............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Indirizzo di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SSAS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tabs>
                <w:tab w:val="left" w:leader="none" w:pos="708"/>
              </w:tabs>
              <w:spacing w:after="0" w:before="0" w:line="240" w:lineRule="auto"/>
              <w:ind w:left="432" w:right="0" w:hanging="43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 studenti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........22......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spacing w:after="0" w:before="0" w:line="276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color w:val="00000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Descrizione di conoscenze e abilità, suddivise in unità di apprendimento o didattiche, evidenziando per ognuna quelle essenziali o minime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(fare riferimento alle Linee Guida e ai documenti dei dipartimenti)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UdA1: La scrittura: testo argomentativo e analisi del testo letterario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Competenze: Produrre un testo argomentativo semplice ma corretto e completo in tutte le sue parti.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Comprendere e analizzare un testo letterario di un autore conosciuto in modo semplice ma sostanzialmente corretto.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Conoscenze: La struttura dei testi argomentativi, informativi, poetici e narrativi.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Abilità: Saper riconoscere i temi chiave dei testi letterari e degli autori attraverso le opere. Riconoscere le costanti tematiche presenti in più autori coevi. Saper confrontare, se guidati, testi di epoche diverse e comprenderne le differenze.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Obiettivi Minimi: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rtl w:val="0"/>
              </w:rPr>
              <w:t xml:space="preserve">Dimostrare una evoluzione nella competenza linguistica (in particolare nel linguaggio letterario); 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88" w:lineRule="auto"/>
              <w:ind w:left="70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relazionare in modo semplice ma corretto quanto appreso; 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88" w:lineRule="auto"/>
              <w:ind w:left="707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produrre testi  sostanzialmente corretti dal punto di vista morfo-sintattico e semantico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Saper analizzare in modo semplice un testo letterario, padroneggiare la struttura del testo argomentativo.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UdA 2: La letteratura: il Medioevo.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Competenze: Comprendere lo sviluppo dei generi letterari nel periodo di riferimento. Comprendere testi letterari delle origini. Saper collegare le opere letterarie più importanti con il contesto storico e sociale.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Abilità: Riconoscere le costanti tematiche presenti in autori coevi.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aper confrontare, se guidati, testi di epoche diverse e comprenderne le differenze. Saper svolgere la parafrasi dei testi letti.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Conoscenze: I generi letterari delle origini: temi, forme e sviluppo. L'evoluzione della lirica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dalla lirica trobadorica allo Stilnovo </w:t>
            </w: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 della novellistica (fino a Boccaccio).  Conoscere le opere, i temi, le idee degli autori trattati, in particolare Dante, Petrarca, Boccaccio. La “Divina commedia”: struttura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temi, personaggi principali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Obiettivi minimi: saper esporre in forma semplice, ma sostanzialmente corretta, i contenuti dell'UdA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UdA 3: Umanesimo e Rinascimento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Competenze: Comprendere lo sviluppo dei generi letterari nel periodo di riferimento. Comprendere testi letterari delle origini. Saper collegare le opere letterarie più importanti con il contesto storico e sociale.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Abilità: Riconoscere le costanti tematiche presenti in autori coevi. saper confrontare, se guidati, testi di epoche diverse e comprenderne le differenze. Saper svolgere la parafrasi dei testi letti.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Conoscenze: I tratti principali dell'Umanesimo e del Rinascimento, dal punto di vista culturale e storico letterario.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Obiettivi minimi: conoscere e saper esporre in forma semplice, ma sostanzialmente corretta, i contenuti dell'UdA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Pisa li ……04/06//2024</w:t>
        <w:tab/>
        <w:t xml:space="preserve">la docente: Simona Niccolai</w:t>
      </w:r>
    </w:p>
    <w:p w:rsidR="00000000" w:rsidDel="00000000" w:rsidP="00000000" w:rsidRDefault="00000000" w:rsidRPr="00000000" w14:paraId="00000069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center" w:leader="none" w:pos="7088"/>
        </w:tabs>
        <w:spacing w:after="100" w:before="10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 Narrow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07" w:hanging="282.99999999999994"/>
      </w:pPr>
      <w:rPr/>
    </w:lvl>
    <w:lvl w:ilvl="1">
      <w:start w:val="1"/>
      <w:numFmt w:val="bullet"/>
      <w:lvlText w:val=""/>
      <w:lvlJc w:val="left"/>
      <w:pPr>
        <w:ind w:left="1414" w:hanging="283"/>
      </w:pPr>
      <w:rPr/>
    </w:lvl>
    <w:lvl w:ilvl="2">
      <w:start w:val="1"/>
      <w:numFmt w:val="bullet"/>
      <w:lvlText w:val=""/>
      <w:lvlJc w:val="left"/>
      <w:pPr>
        <w:ind w:left="2121" w:hanging="283.0000000000002"/>
      </w:pPr>
      <w:rPr/>
    </w:lvl>
    <w:lvl w:ilvl="3">
      <w:start w:val="1"/>
      <w:numFmt w:val="bullet"/>
      <w:lvlText w:val=""/>
      <w:lvlJc w:val="left"/>
      <w:pPr>
        <w:ind w:left="2828" w:hanging="283"/>
      </w:pPr>
      <w:rPr/>
    </w:lvl>
    <w:lvl w:ilvl="4">
      <w:start w:val="1"/>
      <w:numFmt w:val="bullet"/>
      <w:lvlText w:val=""/>
      <w:lvlJc w:val="left"/>
      <w:pPr>
        <w:ind w:left="3535" w:hanging="283"/>
      </w:pPr>
      <w:rPr/>
    </w:lvl>
    <w:lvl w:ilvl="5">
      <w:start w:val="1"/>
      <w:numFmt w:val="bullet"/>
      <w:lvlText w:val=""/>
      <w:lvlJc w:val="left"/>
      <w:pPr>
        <w:ind w:left="4242" w:hanging="283"/>
      </w:pPr>
      <w:rPr/>
    </w:lvl>
    <w:lvl w:ilvl="6">
      <w:start w:val="1"/>
      <w:numFmt w:val="bullet"/>
      <w:lvlText w:val=""/>
      <w:lvlJc w:val="left"/>
      <w:pPr>
        <w:ind w:left="4949" w:hanging="283"/>
      </w:pPr>
      <w:rPr/>
    </w:lvl>
    <w:lvl w:ilvl="7">
      <w:start w:val="1"/>
      <w:numFmt w:val="bullet"/>
      <w:lvlText w:val=""/>
      <w:lvlJc w:val="left"/>
      <w:pPr>
        <w:ind w:left="5656" w:hanging="282.9999999999991"/>
      </w:pPr>
      <w:rPr/>
    </w:lvl>
    <w:lvl w:ilvl="8">
      <w:start w:val="1"/>
      <w:numFmt w:val="bullet"/>
      <w:lvlText w:val=""/>
      <w:lvlJc w:val="left"/>
      <w:pPr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6"/>
        <w:szCs w:val="26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00" w:before="100" w:lineRule="auto"/>
      <w:jc w:val="center"/>
    </w:pPr>
    <w:rPr>
      <w:rFonts w:ascii="Tahoma" w:cs="Tahoma" w:eastAsia="Tahoma" w:hAnsi="Tahoma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100" w:before="100" w:lineRule="auto"/>
    </w:pPr>
    <w:rPr>
      <w:rFonts w:ascii="Tahoma" w:cs="Tahoma" w:eastAsia="Tahoma" w:hAnsi="Tahoma"/>
      <w:b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braccio.it/autore/guido-armellini/libri.html" TargetMode="External"/><Relationship Id="rId10" Type="http://schemas.openxmlformats.org/officeDocument/2006/relationships/hyperlink" Target="https://www.libraccio.it/autore/guido-armellini/libri.html" TargetMode="Externa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biH28OtXRuUik08VhJLErYd3Nw==">CgMxLjAyCGguZ2pkZ3hzMgppZC4zMGowemxsOAByITF1MnZiZ3RXcE5Xb2lwM3cySjZBWldHbXA4YWtOelBXdw==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